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F3" w:rsidRPr="003863C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  <w:bookmarkStart w:id="0" w:name="_GoBack"/>
      <w:bookmarkEnd w:id="0"/>
    </w:p>
    <w:p w:rsidR="00A42AF3" w:rsidRPr="003863C0" w:rsidRDefault="00A42AF3" w:rsidP="003863C0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Общ регламент за групово освобождаване (Регламент № 651/2014) — работен документ</w:t>
      </w:r>
    </w:p>
    <w:p w:rsidR="00A42AF3" w:rsidRPr="003863C0" w:rsidRDefault="003B4EA9" w:rsidP="003863C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Социални помощи за транспорт за живеещите в отдалечени региони  </w:t>
      </w:r>
    </w:p>
    <w:p w:rsidR="00A42AF3" w:rsidRPr="003863C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Най-напред следва да бъдат проверени общите условия за прилагането на ОРГО (12 условия/членове 1—12), а след това И условията по отношение на социалните помощи за транспорт за живеещите в отдалечени региони.</w:t>
      </w:r>
    </w:p>
    <w:p w:rsidR="00A42AF3" w:rsidRPr="003863C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</w:p>
    <w:p w:rsidR="00A42AF3" w:rsidRPr="003863C0" w:rsidRDefault="00A42AF3" w:rsidP="003863C0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А. Общи условия за прилагане</w:t>
      </w:r>
    </w:p>
    <w:p w:rsidR="00A42AF3" w:rsidRPr="003863C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5"/>
        <w:gridCol w:w="6237"/>
      </w:tblGrid>
      <w:tr w:rsidR="00A42AF3" w:rsidRPr="003863C0" w:rsidTr="00ED08DB">
        <w:trPr>
          <w:trHeight w:val="145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333399"/>
          </w:tcPr>
          <w:p w:rsidR="00A42AF3" w:rsidRPr="003863C0" w:rsidRDefault="00A42AF3" w:rsidP="003863C0">
            <w:pPr>
              <w:tabs>
                <w:tab w:val="center" w:pos="3549"/>
              </w:tabs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mallCaps/>
                <w:color w:val="FFFFFF"/>
              </w:rPr>
            </w:pPr>
            <w:r>
              <w:tab/>
            </w:r>
            <w:r>
              <w:rPr>
                <w:rFonts w:ascii="Times New Roman" w:hAnsi="Times New Roman"/>
                <w:b/>
                <w:smallCaps/>
                <w:color w:val="FFFFFF"/>
              </w:rPr>
              <w:t>Общи условия за съвместимост</w:t>
            </w:r>
          </w:p>
        </w:tc>
        <w:tc>
          <w:tcPr>
            <w:tcW w:w="6237" w:type="dxa"/>
            <w:shd w:val="clear" w:color="auto" w:fill="333399"/>
          </w:tcPr>
          <w:p w:rsidR="00A42AF3" w:rsidRPr="003863C0" w:rsidRDefault="00A42AF3" w:rsidP="0038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color w:val="FFFFFF"/>
              </w:rPr>
            </w:pPr>
            <w:r>
              <w:rPr>
                <w:rFonts w:ascii="Times New Roman" w:hAnsi="Times New Roman"/>
                <w:b/>
                <w:smallCaps/>
                <w:color w:val="FFFFFF"/>
              </w:rPr>
              <w:t>Проверка на съответствието (OK?)</w:t>
            </w:r>
          </w:p>
        </w:tc>
      </w:tr>
      <w:tr w:rsidR="00A42AF3" w:rsidRPr="003863C0" w:rsidTr="00ED08DB">
        <w:trPr>
          <w:trHeight w:val="145"/>
        </w:trPr>
        <w:tc>
          <w:tcPr>
            <w:tcW w:w="8375" w:type="dxa"/>
            <w:shd w:val="clear" w:color="auto" w:fill="D9D9D9"/>
          </w:tcPr>
          <w:p w:rsidR="00A42AF3" w:rsidRPr="003863C0" w:rsidRDefault="00A42AF3" w:rsidP="003863C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 1 — Изключване на някои дейности (параграф 2)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42AF3" w:rsidRPr="003863C0" w:rsidRDefault="00A42AF3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2AF3" w:rsidRPr="003863C0" w:rsidTr="00ED08DB">
        <w:trPr>
          <w:trHeight w:val="145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A42AF3" w:rsidRPr="003863C0" w:rsidRDefault="00A42AF3" w:rsidP="003863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Не</w:t>
            </w:r>
            <w:r>
              <w:rPr>
                <w:rFonts w:ascii="Times New Roman" w:hAnsi="Times New Roman"/>
              </w:rPr>
              <w:t xml:space="preserve"> се прилага за:</w:t>
            </w:r>
          </w:p>
          <w:p w:rsidR="00A42AF3" w:rsidRPr="003863C0" w:rsidRDefault="00A42AF3" w:rsidP="003863C0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помощи за дейности, свързани с износ; </w:t>
            </w:r>
          </w:p>
          <w:p w:rsidR="00A42AF3" w:rsidRPr="003863C0" w:rsidRDefault="00A42AF3" w:rsidP="003863C0">
            <w:pPr>
              <w:numPr>
                <w:ilvl w:val="0"/>
                <w:numId w:val="1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помощи, обвързани с условието за използване на местни за сметка на вносни стоки.</w:t>
            </w:r>
          </w:p>
        </w:tc>
        <w:tc>
          <w:tcPr>
            <w:tcW w:w="6237" w:type="dxa"/>
            <w:vMerge/>
            <w:shd w:val="clear" w:color="auto" w:fill="auto"/>
          </w:tcPr>
          <w:p w:rsidR="00A42AF3" w:rsidRPr="003863C0" w:rsidRDefault="00A42AF3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2AF3" w:rsidRPr="003863C0" w:rsidTr="00ED08DB">
        <w:trPr>
          <w:trHeight w:val="145"/>
        </w:trPr>
        <w:tc>
          <w:tcPr>
            <w:tcW w:w="8375" w:type="dxa"/>
            <w:shd w:val="clear" w:color="auto" w:fill="D9D9D9"/>
          </w:tcPr>
          <w:p w:rsidR="00A42AF3" w:rsidRPr="003863C0" w:rsidRDefault="00A42AF3" w:rsidP="00386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 1 — Изключване на някои сектори (параграф 3)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42AF3" w:rsidRPr="003863C0" w:rsidRDefault="00A42AF3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2AF3" w:rsidRPr="003863C0" w:rsidTr="00ED08DB">
        <w:trPr>
          <w:trHeight w:val="145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7B4074" w:rsidRDefault="001C42C7" w:rsidP="007B4074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Риболов и </w:t>
            </w:r>
            <w:proofErr w:type="spellStart"/>
            <w:r>
              <w:rPr>
                <w:rFonts w:ascii="Times New Roman" w:hAnsi="Times New Roman"/>
              </w:rPr>
              <w:t>аквакултури</w:t>
            </w:r>
            <w:proofErr w:type="spellEnd"/>
            <w:r>
              <w:rPr>
                <w:rFonts w:ascii="Times New Roman" w:hAnsi="Times New Roman"/>
              </w:rPr>
              <w:t xml:space="preserve">* (съгласно Регламент (ЕС) № 1379/2013); </w:t>
            </w:r>
          </w:p>
          <w:p w:rsidR="001C42C7" w:rsidRPr="007B4074" w:rsidRDefault="001C42C7" w:rsidP="007B4074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Първично производство на селскостопански продукти*; </w:t>
            </w:r>
          </w:p>
          <w:p w:rsidR="001C42C7" w:rsidRPr="003863C0" w:rsidRDefault="001C42C7" w:rsidP="003863C0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Преработка и продажба на селскостопански продукти*, </w:t>
            </w:r>
            <w:r>
              <w:rPr>
                <w:rFonts w:ascii="Times New Roman" w:hAnsi="Times New Roman"/>
                <w:color w:val="FF0000"/>
              </w:rPr>
              <w:t>ако размерът на помощта е определен въз основа на цената или количеството на такива продукти, закупени от първични производители или предлагани на пазара от съответните предприятия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color w:val="FF0000"/>
              </w:rPr>
              <w:t xml:space="preserve"> или когато помощта е обвързана със задължението да бъде прехвърлена частично или изцяло на първичните производители;</w:t>
            </w:r>
          </w:p>
          <w:p w:rsidR="001C42C7" w:rsidRPr="003863C0" w:rsidRDefault="001C42C7" w:rsidP="003863C0">
            <w:pPr>
              <w:numPr>
                <w:ilvl w:val="0"/>
                <w:numId w:val="2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Помощи за улесняване на закриването на неконкурентоспособни въглищни мини (Решение 2010/787/ЕС на Съвета);</w:t>
            </w:r>
          </w:p>
          <w:p w:rsidR="00A42AF3" w:rsidRPr="003863C0" w:rsidRDefault="001C42C7" w:rsidP="003863C0">
            <w:pPr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* Ако предприятието упражнява също дейност в сектори, които попадат в приложното поле на настоящия регламент, той се прилага за помощите, предоставени в тези сектори, при условие че съответната държава членка гарантира, че дейностите в изключените сектори не се ползват от помощта.</w:t>
            </w:r>
          </w:p>
        </w:tc>
        <w:tc>
          <w:tcPr>
            <w:tcW w:w="6237" w:type="dxa"/>
            <w:vMerge/>
            <w:shd w:val="clear" w:color="auto" w:fill="auto"/>
          </w:tcPr>
          <w:p w:rsidR="00A42AF3" w:rsidRPr="003863C0" w:rsidRDefault="00A42AF3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42AF3" w:rsidRPr="003863C0" w:rsidTr="00ED08DB">
        <w:trPr>
          <w:trHeight w:val="145"/>
        </w:trPr>
        <w:tc>
          <w:tcPr>
            <w:tcW w:w="8375" w:type="dxa"/>
            <w:shd w:val="clear" w:color="auto" w:fill="D9D9D9"/>
          </w:tcPr>
          <w:p w:rsidR="00A42AF3" w:rsidRPr="003863C0" w:rsidRDefault="00A42AF3" w:rsidP="00386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Член 1 — Изключване на дружествата, засегнати от правилото </w:t>
            </w:r>
            <w:proofErr w:type="spellStart"/>
            <w:r>
              <w:rPr>
                <w:rFonts w:ascii="Times New Roman" w:hAnsi="Times New Roman"/>
                <w:b/>
              </w:rPr>
              <w:t>Deggendorf</w:t>
            </w:r>
            <w:proofErr w:type="spellEnd"/>
            <w:r>
              <w:rPr>
                <w:rFonts w:ascii="Times New Roman" w:hAnsi="Times New Roman"/>
                <w:b/>
              </w:rPr>
              <w:t xml:space="preserve"> (параграф 4)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A42AF3" w:rsidRPr="003863C0" w:rsidRDefault="00A42AF3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145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EE195C" w:rsidRPr="003863C0" w:rsidRDefault="00EE195C" w:rsidP="00C83DF3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Не</w:t>
            </w:r>
            <w:r>
              <w:rPr>
                <w:rFonts w:ascii="Times New Roman" w:hAnsi="Times New Roman"/>
              </w:rPr>
              <w:t xml:space="preserve"> се прилага по отношение на схеми за помощ, които не изключват изрично </w:t>
            </w:r>
            <w:r>
              <w:rPr>
                <w:rFonts w:ascii="Times New Roman" w:hAnsi="Times New Roman"/>
              </w:rPr>
              <w:lastRenderedPageBreak/>
              <w:t>плащането на индивидуална помощ</w:t>
            </w:r>
            <w:r w:rsidR="00113AA0" w:rsidRPr="00113A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полза на предприятие, което е обект на неизпълнено разпореждане за възстановяване вследствие на предходно решение на Комисията, с което помощта се обявява за неправомерна/несъвместима</w:t>
            </w:r>
            <w:r w:rsidR="00113AA0">
              <w:rPr>
                <w:rFonts w:ascii="Times New Roman" w:hAnsi="Times New Roman"/>
              </w:rPr>
              <w:t>,</w:t>
            </w:r>
            <w:r w:rsidR="00113AA0">
              <w:t xml:space="preserve"> </w:t>
            </w:r>
            <w:r w:rsidR="00113AA0" w:rsidRPr="00113AA0">
              <w:rPr>
                <w:rFonts w:ascii="Times New Roman" w:hAnsi="Times New Roman"/>
              </w:rPr>
              <w:t xml:space="preserve">и </w:t>
            </w:r>
            <w:r w:rsidR="00113AA0" w:rsidRPr="00113AA0">
              <w:rPr>
                <w:rFonts w:ascii="Times New Roman" w:hAnsi="Times New Roman"/>
                <w:b/>
              </w:rPr>
              <w:t>не</w:t>
            </w:r>
            <w:r w:rsidR="00113AA0" w:rsidRPr="00113AA0">
              <w:rPr>
                <w:rFonts w:ascii="Times New Roman" w:hAnsi="Times New Roman"/>
              </w:rPr>
              <w:t xml:space="preserve"> се прилага по отношение на </w:t>
            </w:r>
            <w:proofErr w:type="spellStart"/>
            <w:r w:rsidR="00113AA0" w:rsidRPr="00113AA0">
              <w:rPr>
                <w:rFonts w:ascii="Times New Roman" w:hAnsi="Times New Roman"/>
                <w:i/>
              </w:rPr>
              <w:t>ad</w:t>
            </w:r>
            <w:proofErr w:type="spellEnd"/>
            <w:r w:rsidR="00113AA0" w:rsidRPr="00113AA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="00113AA0" w:rsidRPr="00113AA0">
              <w:rPr>
                <w:rFonts w:ascii="Times New Roman" w:hAnsi="Times New Roman"/>
                <w:i/>
              </w:rPr>
              <w:t>hoc</w:t>
            </w:r>
            <w:proofErr w:type="spellEnd"/>
            <w:r w:rsidR="00113AA0" w:rsidRPr="00113AA0">
              <w:rPr>
                <w:rFonts w:ascii="Times New Roman" w:hAnsi="Times New Roman"/>
              </w:rPr>
              <w:t xml:space="preserve"> помощ</w:t>
            </w:r>
            <w:r w:rsidR="00C83DF3">
              <w:rPr>
                <w:rFonts w:ascii="Times New Roman" w:hAnsi="Times New Roman"/>
              </w:rPr>
              <w:t>и</w:t>
            </w:r>
            <w:r w:rsidR="00113AA0" w:rsidRPr="00113AA0">
              <w:rPr>
                <w:rFonts w:ascii="Times New Roman" w:hAnsi="Times New Roman"/>
              </w:rPr>
              <w:t xml:space="preserve"> в полза на так</w:t>
            </w:r>
            <w:r w:rsidR="00C83DF3">
              <w:rPr>
                <w:rFonts w:ascii="Times New Roman" w:hAnsi="Times New Roman"/>
              </w:rPr>
              <w:t>и</w:t>
            </w:r>
            <w:r w:rsidR="00113AA0" w:rsidRPr="00113AA0">
              <w:rPr>
                <w:rFonts w:ascii="Times New Roman" w:hAnsi="Times New Roman"/>
              </w:rPr>
              <w:t>ва предприяти</w:t>
            </w:r>
            <w:r w:rsidR="00C83DF3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37" w:type="dxa"/>
            <w:vMerge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145"/>
        </w:trPr>
        <w:tc>
          <w:tcPr>
            <w:tcW w:w="8375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Член 1 — Изключване на дружествата в затруднено положение (параграф 4)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650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EE195C" w:rsidRPr="003863C0" w:rsidRDefault="00EE195C" w:rsidP="007B407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Не</w:t>
            </w:r>
            <w:r>
              <w:rPr>
                <w:rFonts w:ascii="Times New Roman" w:hAnsi="Times New Roman"/>
              </w:rPr>
              <w:t xml:space="preserve"> се прилага за помощи за предприятия в затруднено положение. </w:t>
            </w:r>
          </w:p>
        </w:tc>
        <w:tc>
          <w:tcPr>
            <w:tcW w:w="6237" w:type="dxa"/>
            <w:vMerge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145"/>
        </w:trPr>
        <w:tc>
          <w:tcPr>
            <w:tcW w:w="8375" w:type="dxa"/>
            <w:shd w:val="clear" w:color="auto" w:fill="D9D9D9"/>
          </w:tcPr>
          <w:p w:rsidR="00EE195C" w:rsidRPr="003863C0" w:rsidRDefault="00EE195C" w:rsidP="00D734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Член 1 — Изключване на </w:t>
            </w:r>
            <w:r w:rsidR="00D73449">
              <w:rPr>
                <w:rFonts w:ascii="Times New Roman" w:hAnsi="Times New Roman"/>
                <w:b/>
              </w:rPr>
              <w:t>мерките</w:t>
            </w:r>
            <w:r>
              <w:rPr>
                <w:rFonts w:ascii="Times New Roman" w:hAnsi="Times New Roman"/>
                <w:b/>
              </w:rPr>
              <w:t xml:space="preserve"> за помощ, които нарушават законодателството на Съюза (параграф 5)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145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EE195C" w:rsidRPr="003863C0" w:rsidRDefault="00B44CA0" w:rsidP="0038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EUAlbertina-Regu" w:eastAsia="Times New Roman" w:hAnsi="EUAlbertina-Regu" w:cs="EUAlbertina-Regu"/>
              </w:rPr>
            </w:pPr>
            <w:r>
              <w:rPr>
                <w:rFonts w:ascii="Times New Roman" w:hAnsi="Times New Roman"/>
                <w:b/>
              </w:rPr>
              <w:t>Не</w:t>
            </w:r>
            <w:r>
              <w:rPr>
                <w:rFonts w:ascii="Times New Roman" w:hAnsi="Times New Roman"/>
              </w:rPr>
              <w:t xml:space="preserve"> се прилага за мерки за държавна помощ, които водят до неотделимо нарушение на законодателството на Съюза, по-специално:</w:t>
            </w:r>
          </w:p>
          <w:p w:rsidR="00EE195C" w:rsidRPr="00253EDF" w:rsidRDefault="00EE195C" w:rsidP="0038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53EDF">
              <w:rPr>
                <w:rFonts w:ascii="Times New Roman" w:hAnsi="Times New Roman"/>
              </w:rPr>
              <w:t xml:space="preserve">а) задължение седалището или основното място на установяване на </w:t>
            </w:r>
            <w:proofErr w:type="spellStart"/>
            <w:r w:rsidRPr="00253EDF">
              <w:rPr>
                <w:rFonts w:ascii="Times New Roman" w:hAnsi="Times New Roman"/>
              </w:rPr>
              <w:t>бенефициера</w:t>
            </w:r>
            <w:proofErr w:type="spellEnd"/>
            <w:r w:rsidRPr="00253EDF">
              <w:rPr>
                <w:rFonts w:ascii="Times New Roman" w:hAnsi="Times New Roman"/>
              </w:rPr>
              <w:t xml:space="preserve"> да се намира в съответната държава членка. Разрешава се условието към момента на изплащането на помощта </w:t>
            </w:r>
            <w:proofErr w:type="spellStart"/>
            <w:r w:rsidRPr="00253EDF">
              <w:rPr>
                <w:rFonts w:ascii="Times New Roman" w:hAnsi="Times New Roman"/>
              </w:rPr>
              <w:t>бенефициерът</w:t>
            </w:r>
            <w:proofErr w:type="spellEnd"/>
            <w:r w:rsidRPr="00253EDF">
              <w:rPr>
                <w:rFonts w:ascii="Times New Roman" w:hAnsi="Times New Roman"/>
              </w:rPr>
              <w:t xml:space="preserve"> да е създал седалище или клон в държавата членка, предоставяща помощта;</w:t>
            </w:r>
          </w:p>
          <w:p w:rsidR="00EE195C" w:rsidRPr="00253EDF" w:rsidRDefault="00EE195C" w:rsidP="0038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253EDF">
              <w:rPr>
                <w:rFonts w:ascii="Times New Roman" w:hAnsi="Times New Roman"/>
              </w:rPr>
              <w:t xml:space="preserve">б) задължение </w:t>
            </w:r>
            <w:proofErr w:type="spellStart"/>
            <w:r w:rsidRPr="00253EDF">
              <w:rPr>
                <w:rFonts w:ascii="Times New Roman" w:hAnsi="Times New Roman"/>
              </w:rPr>
              <w:t>бенефициерът</w:t>
            </w:r>
            <w:proofErr w:type="spellEnd"/>
            <w:r w:rsidRPr="00253EDF">
              <w:rPr>
                <w:rFonts w:ascii="Times New Roman" w:hAnsi="Times New Roman"/>
              </w:rPr>
              <w:t xml:space="preserve"> да използва стоки и услуги, произведени на територията на държавата членка;</w:t>
            </w:r>
          </w:p>
          <w:p w:rsidR="00EE195C" w:rsidRPr="003863C0" w:rsidRDefault="00EE195C" w:rsidP="0038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в) ограничаване на възможността </w:t>
            </w:r>
            <w:proofErr w:type="spellStart"/>
            <w:r>
              <w:rPr>
                <w:rFonts w:ascii="Times New Roman" w:hAnsi="Times New Roman"/>
              </w:rPr>
              <w:t>бенефициерът</w:t>
            </w:r>
            <w:proofErr w:type="spellEnd"/>
            <w:r>
              <w:rPr>
                <w:rFonts w:ascii="Times New Roman" w:hAnsi="Times New Roman"/>
              </w:rPr>
              <w:t xml:space="preserve"> да се възползва от резултатите от научноизследователска и развойна дейност и иновации в други държави членки.</w:t>
            </w:r>
          </w:p>
        </w:tc>
        <w:tc>
          <w:tcPr>
            <w:tcW w:w="6237" w:type="dxa"/>
            <w:vMerge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422113">
        <w:trPr>
          <w:trHeight w:val="271"/>
        </w:trPr>
        <w:tc>
          <w:tcPr>
            <w:tcW w:w="8375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 4 — Индивидуални прагове за уведомяване</w:t>
            </w:r>
          </w:p>
        </w:tc>
        <w:tc>
          <w:tcPr>
            <w:tcW w:w="6237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271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EE195C" w:rsidRPr="003863C0" w:rsidRDefault="00182EA4" w:rsidP="00ED0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6237" w:type="dxa"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422113">
        <w:trPr>
          <w:trHeight w:val="344"/>
        </w:trPr>
        <w:tc>
          <w:tcPr>
            <w:tcW w:w="8375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Член 5 — Прозрачност на помощта </w:t>
            </w:r>
          </w:p>
        </w:tc>
        <w:tc>
          <w:tcPr>
            <w:tcW w:w="6237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344"/>
        </w:trPr>
        <w:tc>
          <w:tcPr>
            <w:tcW w:w="8375" w:type="dxa"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 прозрачни се считат:</w:t>
            </w:r>
          </w:p>
          <w:p w:rsidR="00EE195C" w:rsidRPr="003863C0" w:rsidRDefault="00EE195C" w:rsidP="003863C0">
            <w:pPr>
              <w:numPr>
                <w:ilvl w:val="0"/>
                <w:numId w:val="5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безвъзмездните средства и лихвените субсидии;</w:t>
            </w:r>
          </w:p>
          <w:p w:rsidR="00EE195C" w:rsidRPr="003863C0" w:rsidRDefault="00EE195C" w:rsidP="003863C0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заемите (когато брутният еквивалент на безвъзмездна помощ е изчислен въз основа на референтния процент към момента на предоставяне на безвъзмездните средства);</w:t>
            </w:r>
          </w:p>
          <w:p w:rsidR="00EE195C" w:rsidRPr="003863C0" w:rsidRDefault="00EE195C" w:rsidP="003863C0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гаранциите </w:t>
            </w:r>
          </w:p>
          <w:p w:rsidR="00EE195C" w:rsidRPr="003863C0" w:rsidRDefault="00EE195C" w:rsidP="003863C0">
            <w:pPr>
              <w:tabs>
                <w:tab w:val="num" w:pos="470"/>
              </w:tabs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(когато брутният еквивалент на безвъзмездна помощ е изчислен въз основа на минималните премии, посочени в известие на Комисията, </w:t>
            </w:r>
          </w:p>
          <w:p w:rsidR="00EE195C" w:rsidRPr="003863C0" w:rsidRDefault="00EE195C" w:rsidP="003863C0">
            <w:pPr>
              <w:tabs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или </w:t>
            </w:r>
          </w:p>
          <w:p w:rsidR="00EE195C" w:rsidRPr="003863C0" w:rsidRDefault="00EE195C" w:rsidP="003863C0">
            <w:pPr>
              <w:tabs>
                <w:tab w:val="num" w:pos="328"/>
              </w:tabs>
              <w:spacing w:after="0" w:line="240" w:lineRule="auto"/>
              <w:ind w:left="32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когато брутният еквивалент на безвъзмездна помощ е одобрен, преди мярката да бъде въведена в действие, въз основа на Известието на Комисията относно гаранциите и в одобрената методика за изчисляването му изрично се обръща внимание на вида на гаранцията и на вида на сделката, за която гаранцията е издадена, в контекста на прилагането на ОРГО);</w:t>
            </w:r>
          </w:p>
          <w:p w:rsidR="00EE195C" w:rsidRPr="003863C0" w:rsidRDefault="00EE195C" w:rsidP="003863C0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данъчните предимства (когато по мярката е предвиден таван, с който се гарантира, че прагът няма да бъде надхвърлен);</w:t>
            </w:r>
          </w:p>
          <w:p w:rsidR="00EE195C" w:rsidRPr="003863C0" w:rsidRDefault="00EE195C" w:rsidP="003863C0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autoSpaceDE w:val="0"/>
              <w:autoSpaceDN w:val="0"/>
              <w:adjustRightInd w:val="0"/>
              <w:spacing w:after="0" w:line="240" w:lineRule="auto"/>
              <w:ind w:left="328" w:hanging="283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възстановяемите</w:t>
            </w:r>
            <w:proofErr w:type="spellEnd"/>
            <w:r>
              <w:rPr>
                <w:rFonts w:ascii="Times New Roman" w:hAnsi="Times New Roman"/>
              </w:rPr>
              <w:t xml:space="preserve"> аванси (ако общият номинален размер на </w:t>
            </w:r>
            <w:proofErr w:type="spellStart"/>
            <w:r>
              <w:rPr>
                <w:rFonts w:ascii="Times New Roman" w:hAnsi="Times New Roman"/>
              </w:rPr>
              <w:t>възстановяемия</w:t>
            </w:r>
            <w:proofErr w:type="spellEnd"/>
            <w:r>
              <w:rPr>
                <w:rFonts w:ascii="Times New Roman" w:hAnsi="Times New Roman"/>
              </w:rPr>
              <w:t xml:space="preserve"> аванс не надхвърля приложимите прагове съгласно настоящия регламент или ако, след като Комисията е била уведомена за методиката за изчисляване на брутния еквивалент на безвъзмездна помощ на възстановимия аванс, тя е одобрила тази методика преди изпълнението на мярката).</w:t>
            </w:r>
          </w:p>
        </w:tc>
        <w:tc>
          <w:tcPr>
            <w:tcW w:w="6237" w:type="dxa"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271"/>
        </w:trPr>
        <w:tc>
          <w:tcPr>
            <w:tcW w:w="8375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Член 6 — Стимулиращ ефект </w:t>
            </w:r>
          </w:p>
        </w:tc>
        <w:tc>
          <w:tcPr>
            <w:tcW w:w="6237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271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EE195C" w:rsidRPr="003863C0" w:rsidRDefault="002B34A1" w:rsidP="002B34A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Трябва да бъдат изпълнени условията, посочени в член 51.</w:t>
            </w:r>
          </w:p>
        </w:tc>
        <w:tc>
          <w:tcPr>
            <w:tcW w:w="6237" w:type="dxa"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422113">
        <w:trPr>
          <w:trHeight w:val="344"/>
        </w:trPr>
        <w:tc>
          <w:tcPr>
            <w:tcW w:w="8375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Член 7 — Допустими разходи</w:t>
            </w:r>
          </w:p>
        </w:tc>
        <w:tc>
          <w:tcPr>
            <w:tcW w:w="6237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1101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9F3228" w:rsidRPr="003863C0" w:rsidRDefault="003863C0" w:rsidP="003863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изчисляването на интензитета на помощта:</w:t>
            </w:r>
          </w:p>
          <w:p w:rsidR="009F3228" w:rsidRPr="003863C0" w:rsidRDefault="008554EB" w:rsidP="003863C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Данните се събират преди приспадането на данъци и други такси.</w:t>
            </w:r>
          </w:p>
          <w:p w:rsidR="009F3228" w:rsidRPr="003863C0" w:rsidRDefault="009F3228" w:rsidP="003863C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помощите, които се предоставят не под формата на безвъзмездни средства, а под друга форма, размерът на помощта е нейният брутен еквивалент на безвъзмездна помощ.</w:t>
            </w:r>
          </w:p>
          <w:p w:rsidR="009F3228" w:rsidRPr="003863C0" w:rsidRDefault="009F3228" w:rsidP="003863C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Помощите, които се предоставят на няколко части, се сконтират към размера си към момента на предоставяне (същото важи и за допустимите разходи и лихвените проценти към момента на предоставяне). </w:t>
            </w:r>
          </w:p>
          <w:p w:rsidR="009F3228" w:rsidRPr="003863C0" w:rsidRDefault="009F3228" w:rsidP="003863C0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Отделните траншове помощ под формата на данъчни предимства се сконтират въз основа на сконтовите проценти, приложими към момента на влизане в сила на данъчното предимство.</w:t>
            </w:r>
          </w:p>
          <w:p w:rsidR="009F3228" w:rsidRPr="003863C0" w:rsidRDefault="009F3228" w:rsidP="003863C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Когато помощите се предоставят под формата на </w:t>
            </w:r>
            <w:proofErr w:type="spellStart"/>
            <w:r>
              <w:rPr>
                <w:rFonts w:ascii="Times New Roman" w:hAnsi="Times New Roman"/>
              </w:rPr>
              <w:t>възстановяеми</w:t>
            </w:r>
            <w:proofErr w:type="spellEnd"/>
            <w:r>
              <w:rPr>
                <w:rFonts w:ascii="Times New Roman" w:hAnsi="Times New Roman"/>
              </w:rPr>
              <w:t xml:space="preserve"> аванси, които, при липса на одобрена методика за изчисляване на техния брутен еквивалент на безвъзмездна помощ, са изразени като процент от допустимите разходи, и мярката </w:t>
            </w:r>
            <w:r>
              <w:rPr>
                <w:rFonts w:ascii="Times New Roman" w:hAnsi="Times New Roman"/>
              </w:rPr>
              <w:lastRenderedPageBreak/>
              <w:t>предвижда, че при успешен резултат от проекта, за който се съди въз основа на реалистична и предпазлива хипотеза, авансовите плащания се възстановяват с лихвен процент, поне равен на сконтовия процент, приложим към момента на предоставяне на помощта, максималният интензитет на помощта може да бъде увеличен с 10 процентни пункта.</w:t>
            </w:r>
          </w:p>
          <w:p w:rsidR="009F3228" w:rsidRPr="003863C0" w:rsidRDefault="009F3228" w:rsidP="00386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Допустими разходи и документация</w:t>
            </w:r>
          </w:p>
          <w:p w:rsidR="00EE195C" w:rsidRPr="003863C0" w:rsidRDefault="009F3228" w:rsidP="003863C0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Допустими разходи, подкрепени с ясни, конкретни и актуални документи. </w:t>
            </w:r>
          </w:p>
        </w:tc>
        <w:tc>
          <w:tcPr>
            <w:tcW w:w="6237" w:type="dxa"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422113">
        <w:trPr>
          <w:trHeight w:val="271"/>
        </w:trPr>
        <w:tc>
          <w:tcPr>
            <w:tcW w:w="8375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Член 8 — Натрупване</w:t>
            </w:r>
          </w:p>
        </w:tc>
        <w:tc>
          <w:tcPr>
            <w:tcW w:w="6237" w:type="dxa"/>
            <w:shd w:val="clear" w:color="auto" w:fill="D9D9D9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195C" w:rsidRPr="003863C0" w:rsidTr="00ED08DB">
        <w:trPr>
          <w:trHeight w:val="271"/>
        </w:trPr>
        <w:tc>
          <w:tcPr>
            <w:tcW w:w="8375" w:type="dxa"/>
            <w:tcBorders>
              <w:bottom w:val="single" w:sz="4" w:space="0" w:color="auto"/>
            </w:tcBorders>
            <w:shd w:val="clear" w:color="auto" w:fill="auto"/>
          </w:tcPr>
          <w:p w:rsidR="00EF7C46" w:rsidRPr="00253EDF" w:rsidRDefault="00EF7C46" w:rsidP="003863C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3EDF">
              <w:rPr>
                <w:rFonts w:ascii="Times New Roman" w:hAnsi="Times New Roman"/>
              </w:rPr>
              <w:t xml:space="preserve">За праговете и максималните интензитети на помощта се взема предвид </w:t>
            </w:r>
            <w:r w:rsidRPr="00253EDF">
              <w:rPr>
                <w:rFonts w:ascii="Times New Roman" w:hAnsi="Times New Roman"/>
                <w:b/>
              </w:rPr>
              <w:t>общият размер</w:t>
            </w:r>
            <w:r w:rsidRPr="00253EDF">
              <w:rPr>
                <w:rFonts w:ascii="Times New Roman" w:hAnsi="Times New Roman"/>
              </w:rPr>
              <w:t xml:space="preserve"> на помощта (параграф 1).</w:t>
            </w:r>
          </w:p>
          <w:p w:rsidR="00EF7C46" w:rsidRPr="003863C0" w:rsidRDefault="00EF7C46" w:rsidP="003863C0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Когато </w:t>
            </w:r>
            <w:r>
              <w:rPr>
                <w:rFonts w:ascii="Times New Roman" w:hAnsi="Times New Roman"/>
                <w:b/>
              </w:rPr>
              <w:t>финансиране от Съюза</w:t>
            </w:r>
            <w:r>
              <w:rPr>
                <w:rFonts w:ascii="Times New Roman" w:hAnsi="Times New Roman"/>
              </w:rPr>
              <w:t xml:space="preserve"> (което не е под контрола на държавата членка) е съчетано с държавна помощ, само тази държавна помощ се взема предвид за установяването на това дали са спазени праговете за уведомяване и максималните интензитети на помощта или максималните размери на помощта, при условие че общият размер на публичното финансиране, предоставено във връзка с едни и същи допустими разходи, не превишава най-благоприятния процент на финансиране, установен в приложимите правила на законодателството на Съюза (параграф 2).</w:t>
            </w:r>
          </w:p>
          <w:p w:rsidR="00EF7C46" w:rsidRPr="003863C0" w:rsidRDefault="00EF7C46" w:rsidP="003863C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Освободените от задължението за уведомяване помощи могат да се натрупват с всякаква друга държавна помощ, ако </w:t>
            </w:r>
            <w:proofErr w:type="spellStart"/>
            <w:r>
              <w:rPr>
                <w:rFonts w:ascii="Times New Roman" w:hAnsi="Times New Roman"/>
                <w:b/>
              </w:rPr>
              <w:t>установимите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разходи са различни</w:t>
            </w:r>
            <w:r>
              <w:rPr>
                <w:rFonts w:ascii="Times New Roman" w:hAnsi="Times New Roman"/>
              </w:rPr>
              <w:t xml:space="preserve"> (параграф 3, буква а).</w:t>
            </w:r>
          </w:p>
          <w:p w:rsidR="00EF7C46" w:rsidRPr="003863C0" w:rsidRDefault="00EF7C46" w:rsidP="003863C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се допуска натрупване на освободени от задължението за уведомяване помощи с никаква друга помощ във връзка със </w:t>
            </w:r>
            <w:r>
              <w:rPr>
                <w:rFonts w:ascii="Times New Roman" w:hAnsi="Times New Roman"/>
                <w:b/>
              </w:rPr>
              <w:t>същите допустими разходи</w:t>
            </w:r>
            <w:r>
              <w:rPr>
                <w:rFonts w:ascii="Times New Roman" w:hAnsi="Times New Roman"/>
              </w:rPr>
              <w:t>, които се припокриват частично или напълно, ако това натрупване води до надхвърляне на най-високия интензитет или най-високия размер на помощта, приложими за тази помощ (параграф 3, буква б).</w:t>
            </w:r>
          </w:p>
          <w:p w:rsidR="00EE195C" w:rsidRPr="003863C0" w:rsidRDefault="00EF7C46" w:rsidP="003863C0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Държавните помощи, освободени от задължението за уведомяване по силата на ОРГО, не могат да се натрупват с помощ </w:t>
            </w:r>
            <w:proofErr w:type="spellStart"/>
            <w:r>
              <w:rPr>
                <w:rFonts w:ascii="Times New Roman" w:hAnsi="Times New Roman"/>
                <w:b/>
              </w:rPr>
              <w:t>de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minimis</w:t>
            </w:r>
            <w:proofErr w:type="spellEnd"/>
            <w:r>
              <w:rPr>
                <w:rFonts w:ascii="Times New Roman" w:hAnsi="Times New Roman"/>
              </w:rPr>
              <w:t xml:space="preserve"> по отношение на същите допустими разходи, ако това натрупване би довело до интензитет на помощта, надхвърлящ праговете, установени в глава III от ОРГО (параграф 5).</w:t>
            </w:r>
          </w:p>
        </w:tc>
        <w:tc>
          <w:tcPr>
            <w:tcW w:w="6237" w:type="dxa"/>
            <w:shd w:val="clear" w:color="auto" w:fill="auto"/>
          </w:tcPr>
          <w:p w:rsidR="00EE195C" w:rsidRPr="003863C0" w:rsidRDefault="00EE195C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5B8E" w:rsidRPr="002B692E" w:rsidTr="00422113">
        <w:trPr>
          <w:trHeight w:val="271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B8E" w:rsidRPr="00345B8E" w:rsidRDefault="00345B8E" w:rsidP="00345B8E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Член 9 — Публикуване и информация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45B8E" w:rsidRPr="00345B8E" w:rsidRDefault="00345B8E" w:rsidP="00345B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345B8E" w:rsidRPr="002B692E" w:rsidTr="00345B8E">
        <w:trPr>
          <w:trHeight w:val="271"/>
        </w:trPr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E" w:rsidRPr="00422113" w:rsidRDefault="00345B8E" w:rsidP="00345B8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8" w:hanging="3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Публикуване на подробен уебсайт за държавните помощи — на национално или регионално равнище — на следното (параграф 1):</w:t>
            </w:r>
          </w:p>
          <w:p w:rsidR="00345B8E" w:rsidRPr="00422113" w:rsidRDefault="00B55307" w:rsidP="00807D17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DC7884">
              <w:rPr>
                <w:rFonts w:ascii="Times New Roman" w:hAnsi="Times New Roman"/>
              </w:rPr>
              <w:t>)</w:t>
            </w:r>
            <w:r w:rsidR="00DC7884" w:rsidRPr="00DC7884">
              <w:rPr>
                <w:rFonts w:ascii="Times New Roman" w:hAnsi="Times New Roman"/>
              </w:rPr>
              <w:tab/>
            </w:r>
            <w:r w:rsidR="00345B8E">
              <w:rPr>
                <w:rFonts w:ascii="Times New Roman" w:hAnsi="Times New Roman"/>
              </w:rPr>
              <w:t xml:space="preserve">обобщената информация (вж. член 11) или връзка, която предоставя достъп до </w:t>
            </w:r>
            <w:r w:rsidR="00DC7884" w:rsidRPr="00DC7884">
              <w:rPr>
                <w:rFonts w:ascii="Times New Roman" w:hAnsi="Times New Roman"/>
              </w:rPr>
              <w:tab/>
            </w:r>
            <w:r w:rsidR="00345B8E">
              <w:rPr>
                <w:rFonts w:ascii="Times New Roman" w:hAnsi="Times New Roman"/>
              </w:rPr>
              <w:t>нея;</w:t>
            </w:r>
          </w:p>
          <w:p w:rsidR="00345B8E" w:rsidRPr="00422113" w:rsidRDefault="00B55307" w:rsidP="00807D17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DC7884">
              <w:rPr>
                <w:rFonts w:ascii="Times New Roman" w:hAnsi="Times New Roman"/>
              </w:rPr>
              <w:t>)</w:t>
            </w:r>
            <w:r w:rsidR="00DC7884" w:rsidRPr="00DC7884">
              <w:rPr>
                <w:rFonts w:ascii="Times New Roman" w:hAnsi="Times New Roman"/>
              </w:rPr>
              <w:tab/>
            </w:r>
            <w:r w:rsidR="00345B8E">
              <w:rPr>
                <w:rFonts w:ascii="Times New Roman" w:hAnsi="Times New Roman"/>
              </w:rPr>
              <w:t xml:space="preserve">пълния текст на всяка мярка за помощ (вж. член 11) или връзка, която </w:t>
            </w:r>
            <w:r w:rsidR="00DC7884" w:rsidRPr="00DC7884">
              <w:rPr>
                <w:rFonts w:ascii="Times New Roman" w:hAnsi="Times New Roman"/>
              </w:rPr>
              <w:tab/>
            </w:r>
            <w:r w:rsidR="00345B8E">
              <w:rPr>
                <w:rFonts w:ascii="Times New Roman" w:hAnsi="Times New Roman"/>
              </w:rPr>
              <w:t>предоставя достъп до него;</w:t>
            </w:r>
          </w:p>
          <w:p w:rsidR="00345B8E" w:rsidRPr="00422113" w:rsidRDefault="00B55307" w:rsidP="00807D17">
            <w:pPr>
              <w:autoSpaceDE w:val="0"/>
              <w:autoSpaceDN w:val="0"/>
              <w:adjustRightInd w:val="0"/>
              <w:spacing w:after="0" w:line="240" w:lineRule="auto"/>
              <w:ind w:left="32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DC7884">
              <w:rPr>
                <w:rFonts w:ascii="Times New Roman" w:hAnsi="Times New Roman"/>
              </w:rPr>
              <w:t>)</w:t>
            </w:r>
            <w:r w:rsidR="00DC7884" w:rsidRPr="00DC7884">
              <w:rPr>
                <w:rFonts w:ascii="Times New Roman" w:hAnsi="Times New Roman"/>
              </w:rPr>
              <w:tab/>
            </w:r>
            <w:r w:rsidR="00345B8E">
              <w:rPr>
                <w:rFonts w:ascii="Times New Roman" w:hAnsi="Times New Roman"/>
              </w:rPr>
              <w:t xml:space="preserve">информацията относно всяка предоставена индивидуална помощ, </w:t>
            </w:r>
            <w:r w:rsidR="00DC7884" w:rsidRPr="00DC7884">
              <w:rPr>
                <w:rFonts w:ascii="Times New Roman" w:hAnsi="Times New Roman"/>
              </w:rPr>
              <w:tab/>
            </w:r>
            <w:r w:rsidR="00345B8E">
              <w:rPr>
                <w:rFonts w:ascii="Times New Roman" w:hAnsi="Times New Roman"/>
              </w:rPr>
              <w:t>надхвърляща 500 000 евро (вж. приложение III).</w:t>
            </w:r>
          </w:p>
          <w:p w:rsidR="00345B8E" w:rsidRPr="00422113" w:rsidRDefault="00345B8E" w:rsidP="00345B8E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Що се отнася до помощта, предоставена в полза на проекти по цел „Европейско териториално сътрудничество“, информацията, посочена в настоящия параграф, се помества на уебсайта на държавата членка, в която е разположен съответният управителен орган, съгласно определението в член 21 от Регламент (ЕС) № 1299/2013 на Европейския парламент и на Съвета. Като алтернативен вариант участващите държави членки могат също да решат всяка от тях да предоставя информацията относно мерките за помощ на тяхната територия на съответните уебсайтове.</w:t>
            </w:r>
          </w:p>
          <w:p w:rsidR="00345B8E" w:rsidRPr="00422113" w:rsidRDefault="00345B8E" w:rsidP="00345B8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схемите под формата на данъчни предимства и схемите по членове 16 и 21 (с изключение на МСП, които не са осъществили търговска продажба на нито един пазар) условията, посочени в параграф 1, буква в) от настоящия член, се считат за изпълнени, ако държавите членки публикуват необходимата информация за размера на индивидуалните помощи в следните диапазони (в милиони евро) (параграф 2):</w:t>
            </w:r>
          </w:p>
          <w:p w:rsidR="00345B8E" w:rsidRPr="00422113" w:rsidRDefault="00345B8E" w:rsidP="00345B8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0,5-1;</w:t>
            </w:r>
          </w:p>
          <w:p w:rsidR="00345B8E" w:rsidRPr="00422113" w:rsidRDefault="00345B8E" w:rsidP="00345B8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1-2;</w:t>
            </w:r>
          </w:p>
          <w:p w:rsidR="00345B8E" w:rsidRPr="00422113" w:rsidRDefault="00345B8E" w:rsidP="00345B8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2-5;</w:t>
            </w:r>
          </w:p>
          <w:p w:rsidR="00345B8E" w:rsidRPr="00422113" w:rsidRDefault="00345B8E" w:rsidP="00345B8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5-10;</w:t>
            </w:r>
          </w:p>
          <w:p w:rsidR="00345B8E" w:rsidRPr="00422113" w:rsidRDefault="00345B8E" w:rsidP="00345B8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10-30; и</w:t>
            </w:r>
          </w:p>
          <w:p w:rsidR="00345B8E" w:rsidRPr="00422113" w:rsidRDefault="00345B8E" w:rsidP="00345B8E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и повече.</w:t>
            </w:r>
          </w:p>
          <w:p w:rsidR="00345B8E" w:rsidRPr="00422113" w:rsidRDefault="00345B8E" w:rsidP="00345B8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схемите по член 51 задълженията за публикуване не се прилагат по отношение на крайните потребители (параграф 3).</w:t>
            </w:r>
          </w:p>
          <w:p w:rsidR="00345B8E" w:rsidRPr="00422113" w:rsidRDefault="00345B8E" w:rsidP="00345B8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Информацията, посочена в параграф 1, буква в), е организирана и достъпна по </w:t>
            </w:r>
            <w:r>
              <w:rPr>
                <w:rFonts w:ascii="Times New Roman" w:hAnsi="Times New Roman"/>
              </w:rPr>
              <w:lastRenderedPageBreak/>
              <w:t>стандартизиран начин (вж. приложение III) и дава възможност за ефективно търсене и изтегляне. Информацията, посочена в параграф 1, се публикува до 6 месеца от датата на предоставяне на помощта или, за помощи под формата на данъчни предимства, до 1 година от датата, на която трябва да се подаде данъчната декларация, и е достъпна най-малко 10 години от датата, на която е предоставена помощта (параграф 4).</w:t>
            </w:r>
          </w:p>
          <w:p w:rsidR="00345B8E" w:rsidRPr="00345B8E" w:rsidRDefault="00345B8E" w:rsidP="00345B8E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Държавите членки осигуряват съответствие с разпоредбите на настоящия член най-късно две години след влизане в сила на настоящия регламент (т.e. 1.7.2016 г.) (параграф 6).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E" w:rsidRPr="00345B8E" w:rsidRDefault="00345B8E" w:rsidP="00345B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45B8E" w:rsidRDefault="00345B8E" w:rsidP="003863C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A42AF3" w:rsidRPr="00D4757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  <w:r w:rsidRPr="00D47570">
        <w:rPr>
          <w:rFonts w:ascii="Times New Roman" w:hAnsi="Times New Roman"/>
          <w:b/>
        </w:rPr>
        <w:t>За определенията на понятията</w:t>
      </w:r>
      <w:r w:rsidRPr="00D47570">
        <w:rPr>
          <w:rFonts w:ascii="Times New Roman" w:hAnsi="Times New Roman"/>
        </w:rPr>
        <w:t>: член 2 (внимание: ново определение за предприятие в затруднено положение и определения за отдалечени региони и място на обичайно пребиваване).</w:t>
      </w:r>
    </w:p>
    <w:p w:rsidR="00A42AF3" w:rsidRPr="00D47570" w:rsidRDefault="00345B8E" w:rsidP="003863C0">
      <w:pPr>
        <w:spacing w:after="0" w:line="240" w:lineRule="auto"/>
        <w:rPr>
          <w:rFonts w:ascii="Times New Roman" w:eastAsia="Times New Roman" w:hAnsi="Times New Roman"/>
        </w:rPr>
      </w:pPr>
      <w:r w:rsidRPr="00D47570">
        <w:rPr>
          <w:rFonts w:ascii="Times New Roman" w:hAnsi="Times New Roman"/>
          <w:b/>
        </w:rPr>
        <w:t>Докладване</w:t>
      </w:r>
      <w:r w:rsidRPr="00D47570">
        <w:rPr>
          <w:rFonts w:ascii="Times New Roman" w:hAnsi="Times New Roman"/>
        </w:rPr>
        <w:t>: член 11.</w:t>
      </w:r>
    </w:p>
    <w:p w:rsidR="00A42AF3" w:rsidRPr="00D4757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  <w:r w:rsidRPr="00D47570">
        <w:rPr>
          <w:rFonts w:ascii="Times New Roman" w:hAnsi="Times New Roman"/>
          <w:b/>
        </w:rPr>
        <w:t>Контрол:</w:t>
      </w:r>
      <w:r w:rsidRPr="00D47570">
        <w:rPr>
          <w:rFonts w:ascii="Times New Roman" w:hAnsi="Times New Roman"/>
        </w:rPr>
        <w:t xml:space="preserve"> член 12.</w:t>
      </w:r>
    </w:p>
    <w:p w:rsidR="00A42AF3" w:rsidRPr="00D4757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  <w:r w:rsidRPr="00D47570">
        <w:rPr>
          <w:rFonts w:ascii="Times New Roman" w:hAnsi="Times New Roman"/>
          <w:b/>
        </w:rPr>
        <w:t>Отмяна на груповото освобождаване</w:t>
      </w:r>
      <w:r w:rsidRPr="00D47570">
        <w:rPr>
          <w:rFonts w:ascii="Times New Roman" w:hAnsi="Times New Roman"/>
        </w:rPr>
        <w:t>: член 10.</w:t>
      </w:r>
    </w:p>
    <w:p w:rsidR="00A42AF3" w:rsidRPr="003863C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</w:p>
    <w:p w:rsidR="0012237A" w:rsidRPr="003863C0" w:rsidRDefault="00A42AF3" w:rsidP="003863C0">
      <w:pPr>
        <w:spacing w:after="0"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Б. Специални условия за социалните помощи за транспорт за живеещите в отдалечени региони  </w:t>
      </w:r>
    </w:p>
    <w:p w:rsidR="00A42AF3" w:rsidRPr="003863C0" w:rsidRDefault="00A42AF3" w:rsidP="003863C0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</w:p>
    <w:p w:rsidR="00A42AF3" w:rsidRPr="003863C0" w:rsidRDefault="00A42AF3" w:rsidP="003863C0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52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5"/>
        <w:gridCol w:w="6234"/>
      </w:tblGrid>
      <w:tr w:rsidR="00A42AF3" w:rsidRPr="003863C0" w:rsidTr="00ED08DB">
        <w:trPr>
          <w:trHeight w:val="145"/>
        </w:trPr>
        <w:tc>
          <w:tcPr>
            <w:tcW w:w="2865" w:type="pct"/>
            <w:tcBorders>
              <w:bottom w:val="single" w:sz="4" w:space="0" w:color="auto"/>
            </w:tcBorders>
            <w:shd w:val="clear" w:color="auto" w:fill="333399"/>
          </w:tcPr>
          <w:p w:rsidR="00280268" w:rsidRPr="003863C0" w:rsidRDefault="00280268" w:rsidP="003863C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mallCaps/>
                <w:color w:val="FFFFFF"/>
              </w:rPr>
            </w:pPr>
            <w:r>
              <w:rPr>
                <w:rFonts w:ascii="Times New Roman" w:hAnsi="Times New Roman"/>
                <w:b/>
                <w:smallCaps/>
                <w:color w:val="FFFFFF"/>
              </w:rPr>
              <w:t>Член 51</w:t>
            </w:r>
          </w:p>
          <w:p w:rsidR="00A42AF3" w:rsidRPr="003863C0" w:rsidRDefault="00883CD9" w:rsidP="003863C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mallCaps/>
                <w:color w:val="FFFFFF"/>
              </w:rPr>
            </w:pPr>
            <w:r>
              <w:rPr>
                <w:rFonts w:ascii="Times New Roman" w:hAnsi="Times New Roman"/>
                <w:b/>
                <w:smallCaps/>
                <w:color w:val="FFFFFF"/>
              </w:rPr>
              <w:t>Социални помощи за транспорт за живеещите в отдалечени региони</w:t>
            </w:r>
          </w:p>
        </w:tc>
        <w:tc>
          <w:tcPr>
            <w:tcW w:w="2135" w:type="pct"/>
            <w:shd w:val="clear" w:color="auto" w:fill="333399"/>
          </w:tcPr>
          <w:p w:rsidR="00A42AF3" w:rsidRPr="003863C0" w:rsidRDefault="00A42AF3" w:rsidP="003863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mallCaps/>
                <w:color w:val="FFFFFF"/>
              </w:rPr>
            </w:pPr>
            <w:r>
              <w:rPr>
                <w:rFonts w:ascii="Times New Roman" w:hAnsi="Times New Roman"/>
                <w:b/>
                <w:smallCaps/>
                <w:color w:val="FFFFFF"/>
              </w:rPr>
              <w:t>Проверка на съответствието (OK?)</w:t>
            </w:r>
          </w:p>
        </w:tc>
      </w:tr>
      <w:tr w:rsidR="00A42AF3" w:rsidRPr="003863C0" w:rsidTr="00ED08DB">
        <w:trPr>
          <w:trHeight w:val="411"/>
        </w:trPr>
        <w:tc>
          <w:tcPr>
            <w:tcW w:w="2865" w:type="pct"/>
            <w:shd w:val="clear" w:color="auto" w:fill="auto"/>
          </w:tcPr>
          <w:p w:rsidR="00280268" w:rsidRPr="003863C0" w:rsidRDefault="00280268" w:rsidP="003863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Те са съвместими и освободени от задължението за уведомяване, ако са изпълнени общите условия за съвместимост и условията в този член (параграф 1).</w:t>
            </w:r>
          </w:p>
          <w:p w:rsidR="00A42AF3" w:rsidRPr="003863C0" w:rsidRDefault="00924695" w:rsidP="003863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Цялата помощ е в полза на крайните потребители</w:t>
            </w:r>
            <w:r>
              <w:rPr>
                <w:rFonts w:ascii="Times New Roman" w:hAnsi="Times New Roman"/>
              </w:rPr>
              <w:t>, чието място на обичайно пребиваване е в отдалечени региони (параграф 2).</w:t>
            </w:r>
          </w:p>
          <w:p w:rsidR="00A42AF3" w:rsidRPr="003863C0" w:rsidRDefault="00A63B69" w:rsidP="003863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Помощите се предоставят за </w:t>
            </w:r>
            <w:r>
              <w:rPr>
                <w:rFonts w:ascii="Times New Roman" w:hAnsi="Times New Roman"/>
                <w:b/>
              </w:rPr>
              <w:t>пътнически транспорт по маршрут</w:t>
            </w:r>
            <w:r>
              <w:rPr>
                <w:rFonts w:ascii="Times New Roman" w:hAnsi="Times New Roman"/>
              </w:rPr>
              <w:t>, свързващ летище или пристанище в отдалечен регион с друго летище или пристанище на територията на Европейското икономическо пространство (параграф 3).</w:t>
            </w:r>
          </w:p>
          <w:p w:rsidR="00A42AF3" w:rsidRPr="003863C0" w:rsidRDefault="00A63B69" w:rsidP="003863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Помощите се предоставят </w:t>
            </w:r>
            <w:r>
              <w:rPr>
                <w:rFonts w:ascii="Times New Roman" w:hAnsi="Times New Roman"/>
                <w:b/>
              </w:rPr>
              <w:t>без дискриминация</w:t>
            </w:r>
            <w:r>
              <w:rPr>
                <w:rFonts w:ascii="Times New Roman" w:hAnsi="Times New Roman"/>
              </w:rPr>
              <w:t xml:space="preserve"> по отношение на самоличността на превозвача и вида услуга и без ограничение по отношение на точния маршрут към или от отдалечен регион (параграф 4).</w:t>
            </w:r>
          </w:p>
          <w:p w:rsidR="00A63B69" w:rsidRPr="003863C0" w:rsidRDefault="001747C0" w:rsidP="003863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Допустимите разходи</w:t>
            </w:r>
            <w:r>
              <w:rPr>
                <w:rFonts w:ascii="Times New Roman" w:hAnsi="Times New Roman"/>
              </w:rPr>
              <w:t xml:space="preserve"> са цената на билета за отиване и връщане от или до отдалечения регион, включително всички данъци и такси, фактурирани от превозвача на потребителя (параграф 5).</w:t>
            </w:r>
          </w:p>
          <w:p w:rsidR="00A42AF3" w:rsidRPr="003863C0" w:rsidRDefault="00A63B69" w:rsidP="003863C0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Интензитетът на помощта</w:t>
            </w:r>
            <w:r>
              <w:rPr>
                <w:rFonts w:ascii="Times New Roman" w:hAnsi="Times New Roman"/>
              </w:rPr>
              <w:t xml:space="preserve"> не надхвърля 100 % от допустимите разходи (параграф 6).</w:t>
            </w:r>
          </w:p>
        </w:tc>
        <w:tc>
          <w:tcPr>
            <w:tcW w:w="2135" w:type="pct"/>
            <w:shd w:val="clear" w:color="auto" w:fill="auto"/>
          </w:tcPr>
          <w:p w:rsidR="00A42AF3" w:rsidRPr="003863C0" w:rsidRDefault="00A42AF3" w:rsidP="003863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70779E" w:rsidRPr="003863C0" w:rsidRDefault="0070779E" w:rsidP="00182EA4">
      <w:pPr>
        <w:spacing w:after="0" w:line="240" w:lineRule="auto"/>
        <w:rPr>
          <w:rFonts w:ascii="Times New Roman" w:hAnsi="Times New Roman"/>
        </w:rPr>
      </w:pPr>
    </w:p>
    <w:sectPr w:rsidR="0070779E" w:rsidRPr="003863C0" w:rsidSect="00515287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1417" w:right="81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3A" w:rsidRDefault="000E363A">
      <w:pPr>
        <w:spacing w:after="0" w:line="240" w:lineRule="auto"/>
      </w:pPr>
      <w:r>
        <w:separator/>
      </w:r>
    </w:p>
  </w:endnote>
  <w:endnote w:type="continuationSeparator" w:id="0">
    <w:p w:rsidR="000E363A" w:rsidRDefault="000E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49" w:rsidRDefault="00515287" w:rsidP="005152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112D">
      <w:rPr>
        <w:noProof/>
      </w:rPr>
      <w:t>7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49" w:rsidRPr="00515287" w:rsidRDefault="00515287">
    <w:pPr>
      <w:pStyle w:val="Footer"/>
    </w:pPr>
    <w:r>
      <w:t>юни 2015 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3A" w:rsidRDefault="000E363A">
      <w:pPr>
        <w:spacing w:after="0" w:line="240" w:lineRule="auto"/>
      </w:pPr>
      <w:r>
        <w:separator/>
      </w:r>
    </w:p>
  </w:footnote>
  <w:footnote w:type="continuationSeparator" w:id="0">
    <w:p w:rsidR="000E363A" w:rsidRDefault="000E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1BB" w:rsidRPr="00485D49" w:rsidRDefault="00E871BB" w:rsidP="00E871BB">
    <w:pPr>
      <w:autoSpaceDE w:val="0"/>
      <w:autoSpaceDN w:val="0"/>
      <w:ind w:right="-567"/>
      <w:jc w:val="both"/>
      <w:rPr>
        <w:rFonts w:ascii="Times New Roman" w:hAnsi="Times New Roman"/>
        <w:b/>
        <w:bCs/>
        <w:noProof/>
        <w:snapToGrid w:val="0"/>
        <w:color w:val="000000"/>
        <w:u w:val="single"/>
      </w:rPr>
    </w:pPr>
    <w:r>
      <w:rPr>
        <w:rFonts w:ascii="Times New Roman" w:hAnsi="Times New Roman"/>
        <w:b/>
        <w:noProof/>
        <w:snapToGrid w:val="0"/>
        <w:color w:val="000000"/>
        <w:sz w:val="24"/>
        <w:u w:val="single"/>
      </w:rPr>
      <w:t>ДЕКЛАРАЦИЯ ЗА ОТКАЗ ОТ ОТГОВОРНОСТ</w:t>
    </w:r>
  </w:p>
  <w:p w:rsidR="003C2A48" w:rsidRPr="00485D49" w:rsidRDefault="00E871BB" w:rsidP="00E871BB">
    <w:pPr>
      <w:ind w:left="720"/>
      <w:jc w:val="both"/>
      <w:rPr>
        <w:rFonts w:ascii="Times New Roman" w:hAnsi="Times New Roman"/>
        <w:sz w:val="24"/>
      </w:rPr>
    </w:pPr>
    <w:r>
      <w:rPr>
        <w:rFonts w:ascii="Times New Roman" w:hAnsi="Times New Roman"/>
        <w:b/>
        <w:i/>
        <w:sz w:val="24"/>
      </w:rPr>
      <w:t>Настоящият контролен лист не е официален документ на Европейската комисия. Макар че може да представлява полезен допълнителен инструмент за прилагането на Регламент № 651/2014 на Комисията от 17 юни 2014 г. (ОРГО), той не замества този регламент, пълното спазване на чиито разпоредби е единственият начин за ползване на предвиденото в него освобождаване от задължението за уведомяване.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287" w:rsidRPr="00485D49" w:rsidRDefault="00515287" w:rsidP="00515287">
    <w:pPr>
      <w:autoSpaceDE w:val="0"/>
      <w:autoSpaceDN w:val="0"/>
      <w:ind w:right="-567"/>
      <w:jc w:val="both"/>
      <w:rPr>
        <w:rFonts w:ascii="Times New Roman" w:hAnsi="Times New Roman"/>
        <w:b/>
        <w:bCs/>
        <w:noProof/>
        <w:snapToGrid w:val="0"/>
        <w:color w:val="000000"/>
        <w:u w:val="single"/>
      </w:rPr>
    </w:pPr>
    <w:r>
      <w:rPr>
        <w:rFonts w:ascii="Times New Roman" w:hAnsi="Times New Roman"/>
        <w:b/>
        <w:noProof/>
        <w:snapToGrid w:val="0"/>
        <w:color w:val="000000"/>
        <w:sz w:val="24"/>
        <w:u w:val="single"/>
      </w:rPr>
      <w:t>ДЕКЛАРАЦИЯ ЗА ОТКАЗ ОТ ОТГОВОРНОСТ</w:t>
    </w:r>
  </w:p>
  <w:p w:rsidR="00485D49" w:rsidRDefault="00515287" w:rsidP="00515287">
    <w:pPr>
      <w:ind w:left="720"/>
      <w:jc w:val="both"/>
    </w:pPr>
    <w:r>
      <w:rPr>
        <w:rFonts w:ascii="Times New Roman" w:hAnsi="Times New Roman"/>
        <w:b/>
        <w:i/>
        <w:sz w:val="24"/>
      </w:rPr>
      <w:t>Настоящият контролен лист не е официален документ на Европейската комисия. Макар че може да представлява полезен допълнителен инструмент за прилагането на Регламент № 651/2014 на Комисията от 17 юни 2014 г. (ОРГО), той не замества този регламент, пълното спазване на чиито разпоредби е единственият начин за ползване на предвиденото в него освобождаване от задължението за уведомяване.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66E"/>
    <w:multiLevelType w:val="hybridMultilevel"/>
    <w:tmpl w:val="95E2A0A0"/>
    <w:lvl w:ilvl="0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65D80"/>
    <w:multiLevelType w:val="hybridMultilevel"/>
    <w:tmpl w:val="8CB0B1B6"/>
    <w:lvl w:ilvl="0" w:tplc="531A62E0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">
    <w:nsid w:val="0B9165AD"/>
    <w:multiLevelType w:val="hybridMultilevel"/>
    <w:tmpl w:val="AE2AF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B62E5"/>
    <w:multiLevelType w:val="hybridMultilevel"/>
    <w:tmpl w:val="E36665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760C0"/>
    <w:multiLevelType w:val="hybridMultilevel"/>
    <w:tmpl w:val="F11C8A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5078"/>
    <w:multiLevelType w:val="hybridMultilevel"/>
    <w:tmpl w:val="6EBA587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5642CE"/>
    <w:multiLevelType w:val="hybridMultilevel"/>
    <w:tmpl w:val="8418E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736DE"/>
    <w:multiLevelType w:val="hybridMultilevel"/>
    <w:tmpl w:val="DB6C6E98"/>
    <w:lvl w:ilvl="0" w:tplc="326471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9F04FB"/>
    <w:multiLevelType w:val="hybridMultilevel"/>
    <w:tmpl w:val="63B2303E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23775"/>
    <w:multiLevelType w:val="hybridMultilevel"/>
    <w:tmpl w:val="2452A1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FD24D0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F4C32"/>
    <w:multiLevelType w:val="hybridMultilevel"/>
    <w:tmpl w:val="B4FCAE1E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0298C"/>
    <w:multiLevelType w:val="hybridMultilevel"/>
    <w:tmpl w:val="3C26DB34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64B04"/>
    <w:multiLevelType w:val="hybridMultilevel"/>
    <w:tmpl w:val="15BAF8CA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656B7"/>
    <w:multiLevelType w:val="hybridMultilevel"/>
    <w:tmpl w:val="A2AC4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864340"/>
    <w:multiLevelType w:val="hybridMultilevel"/>
    <w:tmpl w:val="9A0EA36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513264B6">
      <w:start w:val="2"/>
      <w:numFmt w:val="bullet"/>
      <w:lvlText w:val="—"/>
      <w:lvlJc w:val="left"/>
      <w:pPr>
        <w:ind w:left="1440" w:hanging="360"/>
      </w:pPr>
      <w:rPr>
        <w:rFonts w:ascii="EUAlbertina-Regu" w:eastAsia="Times New Roman" w:hAnsi="EUAlbertina-Regu" w:cs="EUAlbertina-Regu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6D3B"/>
    <w:multiLevelType w:val="hybridMultilevel"/>
    <w:tmpl w:val="6666B85A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F4D52"/>
    <w:multiLevelType w:val="hybridMultilevel"/>
    <w:tmpl w:val="2C10C468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F103E"/>
    <w:multiLevelType w:val="hybridMultilevel"/>
    <w:tmpl w:val="B936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20C27"/>
    <w:multiLevelType w:val="hybridMultilevel"/>
    <w:tmpl w:val="B5B6BA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B5155E"/>
    <w:multiLevelType w:val="hybridMultilevel"/>
    <w:tmpl w:val="F468CEF2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F0D20"/>
    <w:multiLevelType w:val="hybridMultilevel"/>
    <w:tmpl w:val="AB8A7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1A23BA"/>
    <w:multiLevelType w:val="hybridMultilevel"/>
    <w:tmpl w:val="ACDE5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D12C9"/>
    <w:multiLevelType w:val="hybridMultilevel"/>
    <w:tmpl w:val="9704FA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09397E"/>
    <w:multiLevelType w:val="hybridMultilevel"/>
    <w:tmpl w:val="B98EFE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461F4"/>
    <w:multiLevelType w:val="hybridMultilevel"/>
    <w:tmpl w:val="4D8C4470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2A65AC"/>
    <w:multiLevelType w:val="hybridMultilevel"/>
    <w:tmpl w:val="8BE2DDD8"/>
    <w:lvl w:ilvl="0" w:tplc="08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26">
    <w:nsid w:val="3F8C25C8"/>
    <w:multiLevelType w:val="hybridMultilevel"/>
    <w:tmpl w:val="2038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3F78B6"/>
    <w:multiLevelType w:val="hybridMultilevel"/>
    <w:tmpl w:val="CD70F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5871D5"/>
    <w:multiLevelType w:val="hybridMultilevel"/>
    <w:tmpl w:val="C5D2B0D8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8F1D5E"/>
    <w:multiLevelType w:val="hybridMultilevel"/>
    <w:tmpl w:val="D0A6162A"/>
    <w:lvl w:ilvl="0" w:tplc="531A62E0">
      <w:numFmt w:val="bullet"/>
      <w:lvlText w:val="-"/>
      <w:lvlJc w:val="left"/>
      <w:pPr>
        <w:ind w:left="68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30">
    <w:nsid w:val="52612975"/>
    <w:multiLevelType w:val="hybridMultilevel"/>
    <w:tmpl w:val="60F65676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526F4"/>
    <w:multiLevelType w:val="hybridMultilevel"/>
    <w:tmpl w:val="3B9E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135DC"/>
    <w:multiLevelType w:val="hybridMultilevel"/>
    <w:tmpl w:val="B0D6ADF8"/>
    <w:lvl w:ilvl="0" w:tplc="531A62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A6E0566"/>
    <w:multiLevelType w:val="hybridMultilevel"/>
    <w:tmpl w:val="0CE4D5BE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4">
    <w:nsid w:val="60126EAF"/>
    <w:multiLevelType w:val="hybridMultilevel"/>
    <w:tmpl w:val="F5B496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71078B"/>
    <w:multiLevelType w:val="hybridMultilevel"/>
    <w:tmpl w:val="807A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57F28"/>
    <w:multiLevelType w:val="hybridMultilevel"/>
    <w:tmpl w:val="E6EE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085285"/>
    <w:multiLevelType w:val="hybridMultilevel"/>
    <w:tmpl w:val="DDC0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064B4"/>
    <w:multiLevelType w:val="hybridMultilevel"/>
    <w:tmpl w:val="26945B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256691"/>
    <w:multiLevelType w:val="hybridMultilevel"/>
    <w:tmpl w:val="36A0E6CC"/>
    <w:lvl w:ilvl="0" w:tplc="531A62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5447C67"/>
    <w:multiLevelType w:val="hybridMultilevel"/>
    <w:tmpl w:val="0EE26E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B6A69AB"/>
    <w:multiLevelType w:val="hybridMultilevel"/>
    <w:tmpl w:val="2E04AFBE"/>
    <w:lvl w:ilvl="0" w:tplc="531A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13"/>
  </w:num>
  <w:num w:numId="4">
    <w:abstractNumId w:val="5"/>
  </w:num>
  <w:num w:numId="5">
    <w:abstractNumId w:val="34"/>
  </w:num>
  <w:num w:numId="6">
    <w:abstractNumId w:val="0"/>
  </w:num>
  <w:num w:numId="7">
    <w:abstractNumId w:val="20"/>
  </w:num>
  <w:num w:numId="8">
    <w:abstractNumId w:val="4"/>
  </w:num>
  <w:num w:numId="9">
    <w:abstractNumId w:val="14"/>
  </w:num>
  <w:num w:numId="10">
    <w:abstractNumId w:val="9"/>
  </w:num>
  <w:num w:numId="11">
    <w:abstractNumId w:val="36"/>
  </w:num>
  <w:num w:numId="12">
    <w:abstractNumId w:val="18"/>
  </w:num>
  <w:num w:numId="13">
    <w:abstractNumId w:val="7"/>
  </w:num>
  <w:num w:numId="14">
    <w:abstractNumId w:val="28"/>
  </w:num>
  <w:num w:numId="15">
    <w:abstractNumId w:val="6"/>
  </w:num>
  <w:num w:numId="16">
    <w:abstractNumId w:val="1"/>
  </w:num>
  <w:num w:numId="17">
    <w:abstractNumId w:val="33"/>
  </w:num>
  <w:num w:numId="18">
    <w:abstractNumId w:val="10"/>
  </w:num>
  <w:num w:numId="19">
    <w:abstractNumId w:val="17"/>
  </w:num>
  <w:num w:numId="20">
    <w:abstractNumId w:val="24"/>
  </w:num>
  <w:num w:numId="21">
    <w:abstractNumId w:val="31"/>
  </w:num>
  <w:num w:numId="22">
    <w:abstractNumId w:val="35"/>
  </w:num>
  <w:num w:numId="23">
    <w:abstractNumId w:val="21"/>
  </w:num>
  <w:num w:numId="24">
    <w:abstractNumId w:val="2"/>
  </w:num>
  <w:num w:numId="25">
    <w:abstractNumId w:val="32"/>
  </w:num>
  <w:num w:numId="26">
    <w:abstractNumId w:val="8"/>
  </w:num>
  <w:num w:numId="27">
    <w:abstractNumId w:val="12"/>
  </w:num>
  <w:num w:numId="28">
    <w:abstractNumId w:val="29"/>
  </w:num>
  <w:num w:numId="29">
    <w:abstractNumId w:val="37"/>
  </w:num>
  <w:num w:numId="30">
    <w:abstractNumId w:val="27"/>
  </w:num>
  <w:num w:numId="31">
    <w:abstractNumId w:val="41"/>
  </w:num>
  <w:num w:numId="32">
    <w:abstractNumId w:val="19"/>
  </w:num>
  <w:num w:numId="33">
    <w:abstractNumId w:val="11"/>
  </w:num>
  <w:num w:numId="34">
    <w:abstractNumId w:val="30"/>
  </w:num>
  <w:num w:numId="35">
    <w:abstractNumId w:val="39"/>
  </w:num>
  <w:num w:numId="36">
    <w:abstractNumId w:val="15"/>
  </w:num>
  <w:num w:numId="37">
    <w:abstractNumId w:val="25"/>
  </w:num>
  <w:num w:numId="38">
    <w:abstractNumId w:val="22"/>
  </w:num>
  <w:num w:numId="39">
    <w:abstractNumId w:val="40"/>
  </w:num>
  <w:num w:numId="40">
    <w:abstractNumId w:val="26"/>
  </w:num>
  <w:num w:numId="41">
    <w:abstractNumId w:val="3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42AF3"/>
    <w:rsid w:val="000208A1"/>
    <w:rsid w:val="000A75AD"/>
    <w:rsid w:val="000E363A"/>
    <w:rsid w:val="00113AA0"/>
    <w:rsid w:val="0012237A"/>
    <w:rsid w:val="0014733F"/>
    <w:rsid w:val="00166365"/>
    <w:rsid w:val="0017044A"/>
    <w:rsid w:val="0017379D"/>
    <w:rsid w:val="001747C0"/>
    <w:rsid w:val="001748CD"/>
    <w:rsid w:val="00182EA4"/>
    <w:rsid w:val="0019738C"/>
    <w:rsid w:val="001C42C7"/>
    <w:rsid w:val="00213AD7"/>
    <w:rsid w:val="00214853"/>
    <w:rsid w:val="00223A1B"/>
    <w:rsid w:val="00253EDF"/>
    <w:rsid w:val="00280268"/>
    <w:rsid w:val="002B2FA9"/>
    <w:rsid w:val="002B34A1"/>
    <w:rsid w:val="003007A0"/>
    <w:rsid w:val="00316654"/>
    <w:rsid w:val="0032729A"/>
    <w:rsid w:val="00345B8E"/>
    <w:rsid w:val="00362016"/>
    <w:rsid w:val="00370C9E"/>
    <w:rsid w:val="003863C0"/>
    <w:rsid w:val="003B4EA9"/>
    <w:rsid w:val="003C1CBE"/>
    <w:rsid w:val="003C2A48"/>
    <w:rsid w:val="004111CB"/>
    <w:rsid w:val="00422113"/>
    <w:rsid w:val="004334C6"/>
    <w:rsid w:val="00442DD8"/>
    <w:rsid w:val="00451D03"/>
    <w:rsid w:val="00456CDD"/>
    <w:rsid w:val="00485D49"/>
    <w:rsid w:val="004A17B0"/>
    <w:rsid w:val="004E23E9"/>
    <w:rsid w:val="004F5EDD"/>
    <w:rsid w:val="00515287"/>
    <w:rsid w:val="0056292F"/>
    <w:rsid w:val="006E780D"/>
    <w:rsid w:val="006F0456"/>
    <w:rsid w:val="0070779E"/>
    <w:rsid w:val="007B4074"/>
    <w:rsid w:val="00807D17"/>
    <w:rsid w:val="00810F69"/>
    <w:rsid w:val="00840233"/>
    <w:rsid w:val="008554EB"/>
    <w:rsid w:val="00883CD9"/>
    <w:rsid w:val="008B1C0D"/>
    <w:rsid w:val="008F61A1"/>
    <w:rsid w:val="00924695"/>
    <w:rsid w:val="00950C84"/>
    <w:rsid w:val="009C3BB3"/>
    <w:rsid w:val="009F3228"/>
    <w:rsid w:val="00A42AF3"/>
    <w:rsid w:val="00A509C4"/>
    <w:rsid w:val="00A63B69"/>
    <w:rsid w:val="00A67D4B"/>
    <w:rsid w:val="00A7112D"/>
    <w:rsid w:val="00AF6A0F"/>
    <w:rsid w:val="00B44CA0"/>
    <w:rsid w:val="00B468AC"/>
    <w:rsid w:val="00B516A1"/>
    <w:rsid w:val="00B55307"/>
    <w:rsid w:val="00BB06F4"/>
    <w:rsid w:val="00BD4984"/>
    <w:rsid w:val="00BD6ECE"/>
    <w:rsid w:val="00BD7D96"/>
    <w:rsid w:val="00C324B6"/>
    <w:rsid w:val="00C54277"/>
    <w:rsid w:val="00C57906"/>
    <w:rsid w:val="00C83DF3"/>
    <w:rsid w:val="00CB60BA"/>
    <w:rsid w:val="00CD0049"/>
    <w:rsid w:val="00CF6B9A"/>
    <w:rsid w:val="00D47570"/>
    <w:rsid w:val="00D73449"/>
    <w:rsid w:val="00DA4425"/>
    <w:rsid w:val="00DC7884"/>
    <w:rsid w:val="00E06CC7"/>
    <w:rsid w:val="00E34AD6"/>
    <w:rsid w:val="00E871BB"/>
    <w:rsid w:val="00ED08DB"/>
    <w:rsid w:val="00EE195C"/>
    <w:rsid w:val="00EE7A4F"/>
    <w:rsid w:val="00EF7C46"/>
    <w:rsid w:val="00F00B38"/>
    <w:rsid w:val="00F03F47"/>
    <w:rsid w:val="00F306EE"/>
    <w:rsid w:val="00F4030C"/>
    <w:rsid w:val="00F56B37"/>
    <w:rsid w:val="00F64B1D"/>
    <w:rsid w:val="00F8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654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C2A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2A48"/>
    <w:rPr>
      <w:sz w:val="22"/>
      <w:szCs w:val="22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C2A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2A48"/>
    <w:rPr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B0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bg-BG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6654"/>
    <w:rPr>
      <w:rFonts w:ascii="Tahoma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3C2A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C2A48"/>
    <w:rPr>
      <w:sz w:val="22"/>
      <w:szCs w:val="22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3C2A4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C2A48"/>
    <w:rPr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BB0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6F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LIONETTI Giorgia (COMP)</dc:creator>
  <cp:lastModifiedBy>Ивелина Кирилова</cp:lastModifiedBy>
  <cp:revision>2</cp:revision>
  <dcterms:created xsi:type="dcterms:W3CDTF">2016-04-05T12:30:00Z</dcterms:created>
  <dcterms:modified xsi:type="dcterms:W3CDTF">2016-04-05T12:30:00Z</dcterms:modified>
</cp:coreProperties>
</file>